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7F3B85" w14:textId="1CE2E7F0" w:rsidR="00E90E49" w:rsidRPr="00D312D4" w:rsidRDefault="00E90E49" w:rsidP="00D312D4">
      <w:pPr>
        <w:pStyle w:val="3GPPHeader"/>
        <w:spacing w:after="0"/>
        <w:jc w:val="both"/>
        <w:rPr>
          <w:sz w:val="32"/>
          <w:szCs w:val="32"/>
          <w:highlight w:val="yellow"/>
        </w:rPr>
      </w:pPr>
      <w:r w:rsidRPr="005A5812">
        <w:rPr>
          <w:sz w:val="28"/>
          <w:szCs w:val="24"/>
        </w:rPr>
        <w:t>3GPP TSG-RAN WG</w:t>
      </w:r>
      <w:r w:rsidR="008F1C4E" w:rsidRPr="005A5812">
        <w:rPr>
          <w:sz w:val="28"/>
          <w:szCs w:val="24"/>
        </w:rPr>
        <w:t>1</w:t>
      </w:r>
      <w:r w:rsidRPr="005A5812">
        <w:rPr>
          <w:sz w:val="28"/>
          <w:szCs w:val="24"/>
        </w:rPr>
        <w:t xml:space="preserve"> </w:t>
      </w:r>
      <w:r w:rsidR="008F1C4E" w:rsidRPr="005A5812">
        <w:rPr>
          <w:sz w:val="28"/>
          <w:szCs w:val="24"/>
        </w:rPr>
        <w:t xml:space="preserve">Meeting </w:t>
      </w:r>
      <w:r w:rsidRPr="005A5812">
        <w:rPr>
          <w:sz w:val="28"/>
          <w:szCs w:val="24"/>
        </w:rPr>
        <w:t>#</w:t>
      </w:r>
      <w:r w:rsidR="005D648A" w:rsidRPr="005A5812">
        <w:rPr>
          <w:sz w:val="28"/>
          <w:szCs w:val="24"/>
        </w:rPr>
        <w:t>100-e</w:t>
      </w:r>
      <w:r w:rsidRPr="00D312D4">
        <w:tab/>
      </w:r>
      <w:r w:rsidR="00091557" w:rsidRPr="00D312D4">
        <w:rPr>
          <w:sz w:val="32"/>
          <w:szCs w:val="32"/>
        </w:rPr>
        <w:t>R</w:t>
      </w:r>
      <w:r w:rsidR="008F1C4E" w:rsidRPr="00D312D4">
        <w:rPr>
          <w:sz w:val="32"/>
          <w:szCs w:val="32"/>
        </w:rPr>
        <w:t>1</w:t>
      </w:r>
      <w:r w:rsidR="00091557" w:rsidRPr="00D312D4">
        <w:rPr>
          <w:sz w:val="32"/>
          <w:szCs w:val="32"/>
        </w:rPr>
        <w:t>-</w:t>
      </w:r>
      <w:r w:rsidR="005D648A" w:rsidRPr="00D312D4">
        <w:rPr>
          <w:sz w:val="32"/>
          <w:szCs w:val="32"/>
        </w:rPr>
        <w:t>2000789</w:t>
      </w:r>
    </w:p>
    <w:p w14:paraId="211B4A1D" w14:textId="09ABC439" w:rsidR="00E90E49" w:rsidRPr="005A5812" w:rsidRDefault="005D648A" w:rsidP="00D312D4">
      <w:pPr>
        <w:pStyle w:val="3GPPHeader"/>
        <w:jc w:val="both"/>
        <w:rPr>
          <w:sz w:val="28"/>
          <w:szCs w:val="24"/>
        </w:rPr>
      </w:pPr>
      <w:r w:rsidRPr="005A5812">
        <w:rPr>
          <w:sz w:val="28"/>
          <w:szCs w:val="24"/>
        </w:rPr>
        <w:t>e-Meeting</w:t>
      </w:r>
      <w:r w:rsidR="0027144F" w:rsidRPr="005A5812">
        <w:rPr>
          <w:sz w:val="28"/>
          <w:szCs w:val="24"/>
        </w:rPr>
        <w:t xml:space="preserve">, </w:t>
      </w:r>
      <w:r w:rsidRPr="005A5812">
        <w:rPr>
          <w:sz w:val="28"/>
          <w:szCs w:val="24"/>
        </w:rPr>
        <w:t>February 24</w:t>
      </w:r>
      <w:r w:rsidRPr="005A5812">
        <w:rPr>
          <w:sz w:val="28"/>
          <w:szCs w:val="24"/>
          <w:vertAlign w:val="superscript"/>
        </w:rPr>
        <w:t>th</w:t>
      </w:r>
      <w:r w:rsidRPr="005A5812">
        <w:rPr>
          <w:sz w:val="28"/>
          <w:szCs w:val="24"/>
        </w:rPr>
        <w:t xml:space="preserve"> </w:t>
      </w:r>
      <w:r w:rsidR="001D53E7" w:rsidRPr="005A5812">
        <w:rPr>
          <w:sz w:val="28"/>
          <w:szCs w:val="24"/>
        </w:rPr>
        <w:t xml:space="preserve">– </w:t>
      </w:r>
      <w:r w:rsidRPr="005A5812">
        <w:rPr>
          <w:sz w:val="28"/>
          <w:szCs w:val="24"/>
        </w:rPr>
        <w:t>March 6</w:t>
      </w:r>
      <w:r w:rsidRPr="005A5812">
        <w:rPr>
          <w:sz w:val="28"/>
          <w:szCs w:val="24"/>
          <w:vertAlign w:val="superscript"/>
        </w:rPr>
        <w:t>th</w:t>
      </w:r>
      <w:r w:rsidR="00077892" w:rsidRPr="005A5812">
        <w:rPr>
          <w:sz w:val="28"/>
          <w:szCs w:val="24"/>
        </w:rPr>
        <w:t>, 2020</w:t>
      </w:r>
    </w:p>
    <w:p w14:paraId="2EF70A7C" w14:textId="77777777" w:rsidR="00E90E49" w:rsidRPr="00D312D4" w:rsidRDefault="00E90E49" w:rsidP="00D312D4">
      <w:pPr>
        <w:pStyle w:val="3GPPHeader"/>
        <w:jc w:val="both"/>
      </w:pPr>
    </w:p>
    <w:p w14:paraId="565A099E" w14:textId="3166FBA5" w:rsidR="00E90E49" w:rsidRPr="00D312D4" w:rsidRDefault="00E90E49" w:rsidP="00D312D4">
      <w:pPr>
        <w:pStyle w:val="3GPPHeader"/>
        <w:jc w:val="both"/>
      </w:pPr>
      <w:r w:rsidRPr="00D312D4">
        <w:t>Agenda Item:</w:t>
      </w:r>
      <w:r w:rsidRPr="00D312D4">
        <w:tab/>
      </w:r>
      <w:r w:rsidR="005D648A" w:rsidRPr="00D312D4">
        <w:t>7.2.3.5</w:t>
      </w:r>
    </w:p>
    <w:p w14:paraId="572FD2AE" w14:textId="77777777" w:rsidR="00E90E49" w:rsidRPr="00D312D4" w:rsidRDefault="003D3C45" w:rsidP="00D312D4">
      <w:pPr>
        <w:pStyle w:val="3GPPHeader"/>
        <w:jc w:val="both"/>
      </w:pPr>
      <w:r w:rsidRPr="00D312D4">
        <w:t>Source:</w:t>
      </w:r>
      <w:r w:rsidR="00E90E49" w:rsidRPr="00D312D4">
        <w:tab/>
      </w:r>
      <w:r w:rsidR="00F64C2B" w:rsidRPr="00D312D4">
        <w:t>Ericsson</w:t>
      </w:r>
    </w:p>
    <w:p w14:paraId="60B246B5" w14:textId="62293899" w:rsidR="00E90E49" w:rsidRPr="00D312D4" w:rsidRDefault="003D3C45" w:rsidP="00D312D4">
      <w:pPr>
        <w:pStyle w:val="3GPPHeader"/>
        <w:jc w:val="both"/>
        <w:rPr>
          <w:highlight w:val="yellow"/>
        </w:rPr>
      </w:pPr>
      <w:r w:rsidRPr="00D312D4">
        <w:t>Title:</w:t>
      </w:r>
      <w:r w:rsidR="00E90E49" w:rsidRPr="00D312D4">
        <w:tab/>
      </w:r>
      <w:r w:rsidR="005D648A" w:rsidRPr="00D312D4">
        <w:rPr>
          <w:szCs w:val="20"/>
        </w:rPr>
        <w:t>On mandatory features for BS-like IAB-nodes</w:t>
      </w:r>
    </w:p>
    <w:p w14:paraId="324F845E" w14:textId="77777777" w:rsidR="00E90E49" w:rsidRPr="00D312D4" w:rsidRDefault="00E90E49" w:rsidP="00D312D4">
      <w:pPr>
        <w:pStyle w:val="3GPPHeader"/>
        <w:jc w:val="both"/>
      </w:pPr>
      <w:r w:rsidRPr="00D312D4">
        <w:t>Document for:</w:t>
      </w:r>
      <w:r w:rsidRPr="00D312D4">
        <w:tab/>
        <w:t>Discussion, Decision</w:t>
      </w:r>
    </w:p>
    <w:p w14:paraId="2F95D23B" w14:textId="77777777" w:rsidR="00E90E49" w:rsidRPr="00D312D4" w:rsidRDefault="00E90E49" w:rsidP="00D312D4">
      <w:pPr>
        <w:jc w:val="both"/>
      </w:pPr>
    </w:p>
    <w:p w14:paraId="21AEF13C" w14:textId="77777777" w:rsidR="00E90E49" w:rsidRPr="00D312D4" w:rsidRDefault="00E90E49" w:rsidP="00D312D4">
      <w:pPr>
        <w:pStyle w:val="Heading1"/>
        <w:jc w:val="both"/>
        <w:rPr>
          <w:lang w:val="en-US"/>
        </w:rPr>
      </w:pPr>
      <w:r w:rsidRPr="00D312D4">
        <w:rPr>
          <w:lang w:val="en-US"/>
        </w:rPr>
        <w:t>Introduction</w:t>
      </w:r>
    </w:p>
    <w:p w14:paraId="1633D250" w14:textId="00BC7D7D" w:rsidR="003A3A07" w:rsidRPr="00D312D4" w:rsidRDefault="003A3A07" w:rsidP="00D312D4">
      <w:pPr>
        <w:pStyle w:val="BodyText"/>
        <w:jc w:val="both"/>
        <w:rPr>
          <w:rFonts w:cs="Arial"/>
        </w:rPr>
      </w:pPr>
      <w:r w:rsidRPr="00D312D4">
        <w:rPr>
          <w:rFonts w:cs="Arial"/>
        </w:rPr>
        <w:t xml:space="preserve">During RAN4 #93, there was agreement to create two MT-classes targeting different deployment scenarios </w:t>
      </w:r>
      <w:r w:rsidR="00BF4010" w:rsidRPr="00D312D4">
        <w:rPr>
          <w:rFonts w:cs="Arial"/>
        </w:rPr>
        <w:fldChar w:fldCharType="begin"/>
      </w:r>
      <w:r w:rsidR="00BF4010" w:rsidRPr="00D312D4">
        <w:rPr>
          <w:rFonts w:cs="Arial"/>
        </w:rPr>
        <w:instrText xml:space="preserve"> REF _Ref32568894 \r \h </w:instrText>
      </w:r>
      <w:r w:rsidR="00BF4010" w:rsidRPr="00D312D4">
        <w:rPr>
          <w:rFonts w:cs="Arial"/>
        </w:rPr>
      </w:r>
      <w:r w:rsidR="00D312D4" w:rsidRPr="00D312D4">
        <w:rPr>
          <w:rFonts w:cs="Arial"/>
        </w:rPr>
        <w:instrText xml:space="preserve"> \* MERGEFORMAT </w:instrText>
      </w:r>
      <w:r w:rsidR="00BF4010" w:rsidRPr="00D312D4">
        <w:rPr>
          <w:rFonts w:cs="Arial"/>
        </w:rPr>
        <w:fldChar w:fldCharType="separate"/>
      </w:r>
      <w:r w:rsidR="00FE0A05">
        <w:rPr>
          <w:rFonts w:cs="Arial"/>
        </w:rPr>
        <w:t>[1]</w:t>
      </w:r>
      <w:r w:rsidR="00BF4010" w:rsidRPr="00D312D4">
        <w:rPr>
          <w:rFonts w:cs="Arial"/>
        </w:rPr>
        <w:fldChar w:fldCharType="end"/>
      </w:r>
      <w:r w:rsidRPr="00D312D4">
        <w:rPr>
          <w:rFonts w:cs="Arial"/>
        </w:rPr>
        <w:t>:</w:t>
      </w:r>
    </w:p>
    <w:tbl>
      <w:tblPr>
        <w:tblStyle w:val="TableGrid"/>
        <w:tblW w:w="0" w:type="auto"/>
        <w:tblLook w:val="04A0" w:firstRow="1" w:lastRow="0" w:firstColumn="1" w:lastColumn="0" w:noHBand="0" w:noVBand="1"/>
      </w:tblPr>
      <w:tblGrid>
        <w:gridCol w:w="9629"/>
      </w:tblGrid>
      <w:tr w:rsidR="003A3A07" w:rsidRPr="00D312D4" w14:paraId="08AB1B3B" w14:textId="77777777" w:rsidTr="00D0225F">
        <w:tc>
          <w:tcPr>
            <w:tcW w:w="9629" w:type="dxa"/>
          </w:tcPr>
          <w:p w14:paraId="5D17F8AA" w14:textId="59857792" w:rsidR="003A3A07" w:rsidRPr="00D312D4" w:rsidRDefault="003A3A07" w:rsidP="00D312D4">
            <w:pPr>
              <w:spacing w:before="240"/>
              <w:jc w:val="both"/>
              <w:rPr>
                <w:b/>
                <w:lang w:eastAsia="ja-JP"/>
              </w:rPr>
            </w:pPr>
            <w:r w:rsidRPr="00D312D4">
              <w:rPr>
                <w:b/>
                <w:lang w:eastAsia="ja-JP"/>
              </w:rPr>
              <w:t>Agreements</w:t>
            </w:r>
            <w:r w:rsidR="00633382" w:rsidRPr="00D312D4">
              <w:rPr>
                <w:b/>
                <w:lang w:eastAsia="ja-JP"/>
              </w:rPr>
              <w:t>:</w:t>
            </w:r>
          </w:p>
          <w:p w14:paraId="7BAB7509" w14:textId="77777777" w:rsidR="003A3A07" w:rsidRPr="00D312D4" w:rsidRDefault="003A3A07" w:rsidP="00D312D4">
            <w:pPr>
              <w:jc w:val="both"/>
              <w:rPr>
                <w:bCs/>
                <w:lang w:eastAsia="ja-JP"/>
              </w:rPr>
            </w:pPr>
            <w:r w:rsidRPr="00D312D4">
              <w:rPr>
                <w:bCs/>
                <w:highlight w:val="green"/>
                <w:lang w:eastAsia="ja-JP"/>
              </w:rPr>
              <w:t>IAB-DU follows the BS class, only definition of MT class is considered</w:t>
            </w:r>
          </w:p>
          <w:p w14:paraId="7BB5CDF5" w14:textId="77777777" w:rsidR="003A3A07" w:rsidRPr="00D312D4" w:rsidRDefault="003A3A07" w:rsidP="00D312D4">
            <w:pPr>
              <w:jc w:val="both"/>
              <w:rPr>
                <w:rFonts w:eastAsia="Calibri"/>
              </w:rPr>
            </w:pPr>
            <w:r w:rsidRPr="00D312D4">
              <w:rPr>
                <w:bCs/>
                <w:lang w:eastAsia="ja-JP"/>
              </w:rPr>
              <w:t>MT definition to be split into 2 classes targeting the 2 Layout scenarios considered</w:t>
            </w:r>
          </w:p>
        </w:tc>
      </w:tr>
    </w:tbl>
    <w:p w14:paraId="1918CD9B" w14:textId="77777777" w:rsidR="00D76037" w:rsidRPr="00D312D4" w:rsidRDefault="00474081" w:rsidP="00D312D4">
      <w:pPr>
        <w:pStyle w:val="BodyText"/>
        <w:spacing w:before="240" w:after="0"/>
        <w:jc w:val="both"/>
        <w:rPr>
          <w:rFonts w:cs="Arial"/>
        </w:rPr>
      </w:pPr>
      <w:r w:rsidRPr="00D312D4">
        <w:rPr>
          <w:rFonts w:cs="Arial"/>
        </w:rPr>
        <w:t xml:space="preserve">At the RAN plenary #86, there was a discussion on RRM </w:t>
      </w:r>
      <w:r w:rsidR="0060055E" w:rsidRPr="00D312D4">
        <w:rPr>
          <w:rFonts w:cs="Arial"/>
        </w:rPr>
        <w:t>requirements,</w:t>
      </w:r>
      <w:r w:rsidRPr="00D312D4">
        <w:rPr>
          <w:rFonts w:cs="Arial"/>
        </w:rPr>
        <w:t xml:space="preserve"> and it was agreed that in macro-type deployment scenarios, where the IAB-node deployment is considered being planned, there is no need for RRM requirements.</w:t>
      </w:r>
      <w:r w:rsidR="0060055E" w:rsidRPr="00D312D4">
        <w:rPr>
          <w:rFonts w:cs="Arial"/>
        </w:rPr>
        <w:t xml:space="preserve"> </w:t>
      </w:r>
    </w:p>
    <w:p w14:paraId="49AC45C0" w14:textId="2140199A" w:rsidR="003A3A07" w:rsidRPr="00D312D4" w:rsidRDefault="00474081" w:rsidP="00D312D4">
      <w:pPr>
        <w:pStyle w:val="BodyText"/>
        <w:spacing w:before="240"/>
        <w:jc w:val="both"/>
        <w:rPr>
          <w:rFonts w:cs="Arial"/>
        </w:rPr>
      </w:pPr>
      <w:r w:rsidRPr="00D312D4">
        <w:rPr>
          <w:rFonts w:cs="Arial"/>
        </w:rPr>
        <w:t xml:space="preserve">There was an understanding at </w:t>
      </w:r>
      <w:r w:rsidR="0060055E" w:rsidRPr="00D312D4">
        <w:rPr>
          <w:rFonts w:cs="Arial"/>
        </w:rPr>
        <w:t>RAN #86</w:t>
      </w:r>
      <w:r w:rsidRPr="00D312D4">
        <w:rPr>
          <w:rFonts w:cs="Arial"/>
        </w:rPr>
        <w:t xml:space="preserve"> that there would be two classes also for RRM; one BS-like and targeting macro-type BS scenarios and the other UE-like and targeting small cells.</w:t>
      </w:r>
      <w:r w:rsidR="0060055E" w:rsidRPr="00D312D4">
        <w:rPr>
          <w:rFonts w:cs="Arial"/>
        </w:rPr>
        <w:t xml:space="preserve"> </w:t>
      </w:r>
      <w:r w:rsidRPr="00D312D4">
        <w:rPr>
          <w:rFonts w:cs="Arial"/>
        </w:rPr>
        <w:t xml:space="preserve">The document on Proposed Way Forward on RRM Requirements </w:t>
      </w:r>
      <w:r w:rsidR="0038767E" w:rsidRPr="00D312D4">
        <w:rPr>
          <w:rFonts w:cs="Arial"/>
        </w:rPr>
        <w:fldChar w:fldCharType="begin"/>
      </w:r>
      <w:r w:rsidR="0038767E" w:rsidRPr="00D312D4">
        <w:rPr>
          <w:rFonts w:cs="Arial"/>
        </w:rPr>
        <w:instrText xml:space="preserve"> REF _Ref32568907 \r \h </w:instrText>
      </w:r>
      <w:r w:rsidR="0038767E" w:rsidRPr="00D312D4">
        <w:rPr>
          <w:rFonts w:cs="Arial"/>
        </w:rPr>
      </w:r>
      <w:r w:rsidR="00D312D4" w:rsidRPr="00D312D4">
        <w:rPr>
          <w:rFonts w:cs="Arial"/>
        </w:rPr>
        <w:instrText xml:space="preserve"> \* MERGEFORMAT </w:instrText>
      </w:r>
      <w:r w:rsidR="0038767E" w:rsidRPr="00D312D4">
        <w:rPr>
          <w:rFonts w:cs="Arial"/>
        </w:rPr>
        <w:fldChar w:fldCharType="separate"/>
      </w:r>
      <w:r w:rsidR="00FE0A05">
        <w:rPr>
          <w:rFonts w:cs="Arial"/>
        </w:rPr>
        <w:t>[2]</w:t>
      </w:r>
      <w:r w:rsidR="0038767E" w:rsidRPr="00D312D4">
        <w:rPr>
          <w:rFonts w:cs="Arial"/>
        </w:rPr>
        <w:fldChar w:fldCharType="end"/>
      </w:r>
      <w:r w:rsidRPr="00D312D4">
        <w:rPr>
          <w:rFonts w:cs="Arial"/>
        </w:rPr>
        <w:t xml:space="preserve"> states about that:</w:t>
      </w:r>
    </w:p>
    <w:tbl>
      <w:tblPr>
        <w:tblStyle w:val="TableGrid"/>
        <w:tblW w:w="0" w:type="auto"/>
        <w:tblLook w:val="04A0" w:firstRow="1" w:lastRow="0" w:firstColumn="1" w:lastColumn="0" w:noHBand="0" w:noVBand="1"/>
      </w:tblPr>
      <w:tblGrid>
        <w:gridCol w:w="9629"/>
      </w:tblGrid>
      <w:tr w:rsidR="003A3A07" w:rsidRPr="00D312D4" w14:paraId="13888D2E" w14:textId="77777777" w:rsidTr="00D0225F">
        <w:tc>
          <w:tcPr>
            <w:tcW w:w="9629" w:type="dxa"/>
          </w:tcPr>
          <w:p w14:paraId="70FCBDD9" w14:textId="77777777" w:rsidR="003A3A07" w:rsidRPr="00D312D4" w:rsidRDefault="003A3A07" w:rsidP="00D312D4">
            <w:pPr>
              <w:numPr>
                <w:ilvl w:val="0"/>
                <w:numId w:val="24"/>
              </w:numPr>
              <w:overflowPunct w:val="0"/>
              <w:autoSpaceDE w:val="0"/>
              <w:autoSpaceDN w:val="0"/>
              <w:adjustRightInd w:val="0"/>
              <w:spacing w:before="240" w:after="120"/>
              <w:jc w:val="both"/>
              <w:textAlignment w:val="baseline"/>
              <w:rPr>
                <w:rFonts w:eastAsia="SimSun" w:cstheme="minorHAnsi"/>
                <w:bCs/>
                <w:lang w:eastAsia="ja-JP"/>
              </w:rPr>
            </w:pPr>
            <w:r w:rsidRPr="00D312D4">
              <w:rPr>
                <w:rFonts w:eastAsia="SimSun" w:cstheme="minorHAnsi"/>
                <w:bCs/>
                <w:lang w:eastAsia="ja-JP"/>
              </w:rPr>
              <w:t>RAN4 will introduce RLM and BFD/BFR requirements for the MT targeting certain scenarios classes depending on RAN4 definition</w:t>
            </w:r>
          </w:p>
          <w:p w14:paraId="2B0C2BA3" w14:textId="77777777" w:rsidR="003A3A07" w:rsidRPr="00D312D4" w:rsidRDefault="003A3A07" w:rsidP="00D312D4">
            <w:pPr>
              <w:numPr>
                <w:ilvl w:val="1"/>
                <w:numId w:val="24"/>
              </w:numPr>
              <w:overflowPunct w:val="0"/>
              <w:autoSpaceDE w:val="0"/>
              <w:autoSpaceDN w:val="0"/>
              <w:adjustRightInd w:val="0"/>
              <w:spacing w:after="120"/>
              <w:jc w:val="both"/>
              <w:textAlignment w:val="baseline"/>
              <w:rPr>
                <w:rFonts w:eastAsia="SimSun" w:cstheme="minorHAnsi"/>
                <w:bCs/>
                <w:lang w:eastAsia="ja-JP"/>
              </w:rPr>
            </w:pPr>
            <w:r w:rsidRPr="00D312D4">
              <w:rPr>
                <w:rFonts w:eastAsia="SimSun" w:cstheme="minorHAnsi"/>
                <w:bCs/>
                <w:lang w:eastAsia="ja-JP"/>
              </w:rPr>
              <w:t>Requirements will be defined for scenarios not targeting macro type of deployments. No requirements will be defined for scenarios targeting macro type of deployments:</w:t>
            </w:r>
          </w:p>
          <w:p w14:paraId="0CF2E528" w14:textId="77777777" w:rsidR="003A3A07" w:rsidRPr="00D312D4" w:rsidRDefault="003A3A07" w:rsidP="00D312D4">
            <w:pPr>
              <w:numPr>
                <w:ilvl w:val="2"/>
                <w:numId w:val="24"/>
              </w:numPr>
              <w:overflowPunct w:val="0"/>
              <w:autoSpaceDE w:val="0"/>
              <w:autoSpaceDN w:val="0"/>
              <w:adjustRightInd w:val="0"/>
              <w:spacing w:after="120"/>
              <w:jc w:val="both"/>
              <w:textAlignment w:val="baseline"/>
              <w:rPr>
                <w:rFonts w:eastAsia="Calibri" w:cstheme="minorHAnsi"/>
              </w:rPr>
            </w:pPr>
            <w:r w:rsidRPr="00D312D4">
              <w:rPr>
                <w:rFonts w:eastAsia="SimSun" w:cstheme="minorHAnsi"/>
                <w:bCs/>
                <w:lang w:eastAsia="ja-JP"/>
              </w:rPr>
              <w:t xml:space="preserve">If multiple MT classes (e.g. macro type, </w:t>
            </w:r>
            <w:proofErr w:type="spellStart"/>
            <w:r w:rsidRPr="00D312D4">
              <w:rPr>
                <w:rFonts w:eastAsia="SimSun" w:cstheme="minorHAnsi"/>
                <w:bCs/>
                <w:lang w:eastAsia="ja-JP"/>
              </w:rPr>
              <w:t>pico</w:t>
            </w:r>
            <w:proofErr w:type="spellEnd"/>
            <w:r w:rsidRPr="00D312D4">
              <w:rPr>
                <w:rFonts w:eastAsia="SimSun" w:cstheme="minorHAnsi"/>
                <w:bCs/>
                <w:lang w:eastAsia="ja-JP"/>
              </w:rPr>
              <w:t xml:space="preserve"> type deployments) are defined, the requirements should be defined only for the MT classes not targeting macro type of deployment.</w:t>
            </w:r>
          </w:p>
          <w:p w14:paraId="5D4DFA4F" w14:textId="77777777" w:rsidR="003A3A07" w:rsidRPr="00D312D4" w:rsidRDefault="003A3A07" w:rsidP="00D312D4">
            <w:pPr>
              <w:numPr>
                <w:ilvl w:val="2"/>
                <w:numId w:val="24"/>
              </w:numPr>
              <w:overflowPunct w:val="0"/>
              <w:autoSpaceDE w:val="0"/>
              <w:autoSpaceDN w:val="0"/>
              <w:adjustRightInd w:val="0"/>
              <w:spacing w:after="120"/>
              <w:jc w:val="both"/>
              <w:textAlignment w:val="baseline"/>
              <w:rPr>
                <w:rFonts w:eastAsia="Calibri"/>
              </w:rPr>
            </w:pPr>
            <w:r w:rsidRPr="00D312D4">
              <w:rPr>
                <w:rFonts w:eastAsia="SimSun" w:cstheme="minorHAnsi"/>
                <w:bCs/>
                <w:lang w:eastAsia="ja-JP"/>
              </w:rPr>
              <w:t>If a single MT class is defined, the requirements should be defined for the DU class not targeting DU macro type of deployment.</w:t>
            </w:r>
          </w:p>
        </w:tc>
      </w:tr>
    </w:tbl>
    <w:p w14:paraId="4F694F6E" w14:textId="0E71E937" w:rsidR="00477768" w:rsidRPr="00D312D4" w:rsidRDefault="003A3A07" w:rsidP="00D312D4">
      <w:pPr>
        <w:pStyle w:val="BodyText"/>
        <w:spacing w:before="240"/>
        <w:jc w:val="both"/>
        <w:rPr>
          <w:rFonts w:cs="Arial"/>
        </w:rPr>
      </w:pPr>
      <w:r w:rsidRPr="00D312D4">
        <w:rPr>
          <w:rFonts w:cs="Arial"/>
        </w:rPr>
        <w:t>In this contribution, we discuss whether</w:t>
      </w:r>
      <w:r w:rsidR="003C45CD" w:rsidRPr="00D312D4">
        <w:rPr>
          <w:rFonts w:cs="Arial"/>
        </w:rPr>
        <w:t xml:space="preserve"> </w:t>
      </w:r>
      <w:r w:rsidRPr="00D312D4">
        <w:rPr>
          <w:rFonts w:cs="Arial"/>
        </w:rPr>
        <w:t>features should be mandatory or optional</w:t>
      </w:r>
      <w:r w:rsidR="003C45CD" w:rsidRPr="00D312D4">
        <w:rPr>
          <w:rFonts w:cs="Arial"/>
        </w:rPr>
        <w:t xml:space="preserve"> for </w:t>
      </w:r>
      <w:r w:rsidR="003C45CD" w:rsidRPr="00D312D4">
        <w:rPr>
          <w:rFonts w:cs="Arial"/>
        </w:rPr>
        <w:t>IAB-MTs</w:t>
      </w:r>
      <w:r w:rsidRPr="00D312D4">
        <w:rPr>
          <w:rFonts w:cs="Arial"/>
        </w:rPr>
        <w:t>.</w:t>
      </w:r>
    </w:p>
    <w:p w14:paraId="1619177D" w14:textId="085246A0" w:rsidR="004000E8" w:rsidRPr="00D312D4" w:rsidRDefault="004000E8" w:rsidP="00D312D4">
      <w:pPr>
        <w:pStyle w:val="Heading1"/>
        <w:jc w:val="both"/>
        <w:rPr>
          <w:lang w:val="en-US"/>
        </w:rPr>
      </w:pPr>
      <w:bookmarkStart w:id="0" w:name="_Ref178064866"/>
      <w:r w:rsidRPr="00D312D4">
        <w:rPr>
          <w:lang w:val="en-US"/>
        </w:rPr>
        <w:lastRenderedPageBreak/>
        <w:t>Discussion</w:t>
      </w:r>
      <w:bookmarkEnd w:id="0"/>
    </w:p>
    <w:p w14:paraId="7F19D81B" w14:textId="430CA2E5" w:rsidR="00D76037" w:rsidRPr="00D312D4" w:rsidRDefault="00D76037" w:rsidP="00D312D4">
      <w:pPr>
        <w:jc w:val="both"/>
        <w:rPr>
          <w:lang w:eastAsia="zh-CN"/>
        </w:rPr>
      </w:pPr>
      <w:r w:rsidRPr="00D312D4">
        <w:rPr>
          <w:lang w:eastAsia="zh-CN"/>
        </w:rPr>
        <w:t>From the RAN4 discussions, we conclude that there will be two classes of IAB-nodes</w:t>
      </w:r>
      <w:r w:rsidR="003C45CD" w:rsidRPr="00D312D4">
        <w:rPr>
          <w:lang w:eastAsia="zh-CN"/>
        </w:rPr>
        <w:t>:</w:t>
      </w:r>
    </w:p>
    <w:p w14:paraId="0A824A44" w14:textId="506C3D52" w:rsidR="0090267A" w:rsidRPr="00D312D4" w:rsidRDefault="00D76037" w:rsidP="00D312D4">
      <w:pPr>
        <w:numPr>
          <w:ilvl w:val="0"/>
          <w:numId w:val="24"/>
        </w:numPr>
        <w:overflowPunct w:val="0"/>
        <w:autoSpaceDE w:val="0"/>
        <w:autoSpaceDN w:val="0"/>
        <w:adjustRightInd w:val="0"/>
        <w:spacing w:after="0"/>
        <w:jc w:val="both"/>
        <w:textAlignment w:val="baseline"/>
        <w:rPr>
          <w:rFonts w:eastAsia="Calibri" w:cstheme="minorHAnsi"/>
        </w:rPr>
      </w:pPr>
      <w:r w:rsidRPr="00D312D4">
        <w:rPr>
          <w:rFonts w:cstheme="minorHAnsi"/>
          <w:lang w:eastAsia="zh-CN"/>
        </w:rPr>
        <w:t xml:space="preserve">IAB nodes which are purchased by and whose characteristics are known to the operator, for which the deployment is planned and controlled and the DU-MT link (i.e. the parent backhaul link) </w:t>
      </w:r>
      <w:r w:rsidR="00FE3C64">
        <w:rPr>
          <w:rFonts w:cstheme="minorHAnsi"/>
          <w:lang w:eastAsia="zh-CN"/>
        </w:rPr>
        <w:t xml:space="preserve">is </w:t>
      </w:r>
      <w:r w:rsidR="00FE3C64">
        <w:rPr>
          <w:lang w:val="en-GB" w:eastAsia="zh-CN"/>
        </w:rPr>
        <w:t xml:space="preserve">reliable and stationary, as can be </w:t>
      </w:r>
      <w:r w:rsidR="00FE3C64">
        <w:rPr>
          <w:lang w:val="en-GB" w:eastAsia="zh-CN"/>
        </w:rPr>
        <w:t>expected</w:t>
      </w:r>
      <w:r w:rsidR="00FE3C64">
        <w:rPr>
          <w:lang w:val="en-GB" w:eastAsia="zh-CN"/>
        </w:rPr>
        <w:t xml:space="preserve"> from planning and non-existing mobility of such nodes</w:t>
      </w:r>
      <w:r w:rsidRPr="00D312D4">
        <w:rPr>
          <w:rFonts w:cstheme="minorHAnsi"/>
          <w:lang w:eastAsia="zh-CN"/>
        </w:rPr>
        <w:t>. From the network perspective, these IAB-nodes behave like BS network nodes and fulfil BS requirements</w:t>
      </w:r>
      <w:r w:rsidR="00650710" w:rsidRPr="00D312D4">
        <w:rPr>
          <w:rFonts w:cstheme="minorHAnsi"/>
          <w:lang w:eastAsia="zh-CN"/>
        </w:rPr>
        <w:t>.</w:t>
      </w:r>
    </w:p>
    <w:p w14:paraId="0041F369" w14:textId="7410D1FA" w:rsidR="00D76037" w:rsidRPr="00D312D4" w:rsidRDefault="00D76037" w:rsidP="00D312D4">
      <w:pPr>
        <w:pStyle w:val="ListParagraph"/>
        <w:numPr>
          <w:ilvl w:val="0"/>
          <w:numId w:val="25"/>
        </w:numPr>
        <w:spacing w:before="240" w:after="240"/>
        <w:contextualSpacing/>
        <w:jc w:val="both"/>
        <w:rPr>
          <w:rFonts w:asciiTheme="minorHAnsi" w:hAnsiTheme="minorHAnsi" w:cstheme="minorHAnsi"/>
          <w:lang w:val="en-US" w:eastAsia="zh-CN"/>
        </w:rPr>
      </w:pPr>
      <w:r w:rsidRPr="00D312D4">
        <w:rPr>
          <w:rFonts w:asciiTheme="minorHAnsi" w:hAnsiTheme="minorHAnsi" w:cstheme="minorHAnsi"/>
          <w:lang w:val="en-US" w:eastAsia="zh-CN"/>
        </w:rPr>
        <w:t>IAB nodes whose characteristics may not be known to the operator and for which the deployment may be rather unplanned and/or uncontrolled. Since the behavior of these IAB-nodes cannot be expected to be controlled by the network, they must be treated like UEs and hence fulfil (most of) the UE requirements (including RRM requirements). They can be placed more arbitrarily (and maybe even not by the operator).</w:t>
      </w:r>
    </w:p>
    <w:p w14:paraId="7B40A77D" w14:textId="77777777" w:rsidR="00D312D4" w:rsidRPr="00D312D4" w:rsidRDefault="00D312D4" w:rsidP="00D312D4">
      <w:pPr>
        <w:jc w:val="both"/>
        <w:rPr>
          <w:lang w:eastAsia="zh-CN"/>
        </w:rPr>
      </w:pPr>
      <w:r w:rsidRPr="00D312D4">
        <w:rPr>
          <w:lang w:eastAsia="zh-CN"/>
        </w:rPr>
        <w:t>We will refer in the following to the two above IAB-node classes as macro-IAB nodes and pico-IAB nodes, respectively.</w:t>
      </w:r>
    </w:p>
    <w:p w14:paraId="4F9DFCA5" w14:textId="2B8B3285" w:rsidR="00D312D4" w:rsidRPr="00D312D4" w:rsidRDefault="00D312D4" w:rsidP="00D312D4">
      <w:pPr>
        <w:jc w:val="both"/>
        <w:rPr>
          <w:lang w:eastAsia="zh-CN"/>
        </w:rPr>
      </w:pPr>
      <w:r w:rsidRPr="00D312D4">
        <w:rPr>
          <w:lang w:eastAsia="zh-CN"/>
        </w:rPr>
        <w:t>We think that macro-IAB nodes should be treated as much as possible like a base station. Since the operator knows the capabilities of such nodes beforehand, there is generally no need for capability signaling between these nodes and the rest of the network, e.g., the donor node. Any required capabilities, e.g., in order to function and/or to perform in a network, would be negotiated between the IAB-node vendor and the operator.</w:t>
      </w:r>
    </w:p>
    <w:p w14:paraId="6F6A58B2" w14:textId="77777777" w:rsidR="00D312D4" w:rsidRPr="00D312D4" w:rsidRDefault="00D312D4" w:rsidP="00D312D4">
      <w:pPr>
        <w:jc w:val="both"/>
        <w:rPr>
          <w:lang w:eastAsia="zh-CN"/>
        </w:rPr>
      </w:pPr>
      <w:r w:rsidRPr="00D312D4">
        <w:t xml:space="preserve">Based on the above, it can be concluded that a macro-IAB node will not roam into another operator’s network. </w:t>
      </w:r>
      <w:r w:rsidRPr="00D312D4">
        <w:rPr>
          <w:lang w:eastAsia="zh-CN"/>
        </w:rPr>
        <w:t>Hence, there is no risk of unknown macro-IAB nodes, whether from one or many vendors, appearing in an operator’s network.</w:t>
      </w:r>
    </w:p>
    <w:p w14:paraId="618A7CD5" w14:textId="77777777" w:rsidR="00D312D4" w:rsidRPr="00D312D4" w:rsidRDefault="00D312D4" w:rsidP="00D312D4">
      <w:pPr>
        <w:jc w:val="both"/>
        <w:rPr>
          <w:lang w:eastAsia="zh-CN"/>
        </w:rPr>
      </w:pPr>
      <w:r w:rsidRPr="00D312D4">
        <w:rPr>
          <w:lang w:eastAsia="zh-CN"/>
        </w:rPr>
        <w:t>Pico-IAB nodes differs from the above and roaming into other networks cannot be excluded. Hence,</w:t>
      </w:r>
      <w:r w:rsidRPr="00D312D4" w:rsidDel="0051622A">
        <w:rPr>
          <w:lang w:eastAsia="zh-CN"/>
        </w:rPr>
        <w:t xml:space="preserve"> </w:t>
      </w:r>
      <w:r w:rsidRPr="00D312D4">
        <w:rPr>
          <w:lang w:eastAsia="zh-CN"/>
        </w:rPr>
        <w:t>a minimum capability set is needed to avoid that a network needs to support all possible combinations of capabilities.</w:t>
      </w:r>
    </w:p>
    <w:p w14:paraId="35EBE4BE" w14:textId="18E3E274" w:rsidR="00D76037" w:rsidRPr="00D312D4" w:rsidRDefault="00D312D4" w:rsidP="00D312D4">
      <w:pPr>
        <w:jc w:val="both"/>
        <w:rPr>
          <w:lang w:eastAsia="zh-CN"/>
        </w:rPr>
      </w:pPr>
      <w:r w:rsidRPr="00D312D4">
        <w:rPr>
          <w:lang w:eastAsia="zh-CN"/>
        </w:rPr>
        <w:t xml:space="preserve">We therefore propose that IAB-nodes with BS characteristics (macro-IAB nodes) in deployment, operation, performance and configuration and configurability will have no mandatory feature groups for their </w:t>
      </w:r>
      <w:bookmarkStart w:id="1" w:name="_GoBack"/>
      <w:bookmarkEnd w:id="1"/>
      <w:r w:rsidRPr="00D312D4">
        <w:rPr>
          <w:lang w:eastAsia="zh-CN"/>
        </w:rPr>
        <w:t>IAB-MT.</w:t>
      </w:r>
    </w:p>
    <w:p w14:paraId="576C2DE2" w14:textId="16F1D08D" w:rsidR="00D76037" w:rsidRPr="00D312D4" w:rsidRDefault="00E445B3" w:rsidP="00D312D4">
      <w:pPr>
        <w:pStyle w:val="Proposal"/>
        <w:spacing w:before="240" w:after="0"/>
        <w:jc w:val="both"/>
        <w:rPr>
          <w:rFonts w:cs="Arial"/>
          <w:lang w:eastAsia="zh-CN"/>
        </w:rPr>
      </w:pPr>
      <w:bookmarkStart w:id="2" w:name="_Toc32605871"/>
      <w:r w:rsidRPr="00D312D4">
        <w:t>IAB-nodes with BS characteristics in deployment, operation, performance and configuration and configurability will have no mandatory feature groups for their IAB-MT.</w:t>
      </w:r>
      <w:bookmarkEnd w:id="2"/>
    </w:p>
    <w:p w14:paraId="215F329D" w14:textId="77777777" w:rsidR="00C01F33" w:rsidRPr="00D312D4" w:rsidRDefault="00C01F33" w:rsidP="00D312D4">
      <w:pPr>
        <w:pStyle w:val="Heading1"/>
        <w:jc w:val="both"/>
        <w:rPr>
          <w:lang w:val="en-US"/>
        </w:rPr>
      </w:pPr>
      <w:r w:rsidRPr="00D312D4">
        <w:rPr>
          <w:lang w:val="en-US"/>
        </w:rPr>
        <w:t>Conclusion</w:t>
      </w:r>
    </w:p>
    <w:p w14:paraId="2A4BBC45" w14:textId="77777777" w:rsidR="006E1C82" w:rsidRPr="00D312D4" w:rsidRDefault="008E065E" w:rsidP="00FE0A05">
      <w:pPr>
        <w:pStyle w:val="BodyText"/>
        <w:jc w:val="both"/>
      </w:pPr>
      <w:r w:rsidRPr="00D312D4">
        <w:t xml:space="preserve">Based on the discussion in </w:t>
      </w:r>
      <w:r w:rsidR="007729A2" w:rsidRPr="00D312D4">
        <w:t xml:space="preserve">the previous </w:t>
      </w:r>
      <w:r w:rsidRPr="00D312D4">
        <w:t>section</w:t>
      </w:r>
      <w:r w:rsidR="007729A2" w:rsidRPr="00D312D4">
        <w:t>s</w:t>
      </w:r>
      <w:r w:rsidRPr="00D312D4">
        <w:t xml:space="preserve"> we propose the following:</w:t>
      </w:r>
    </w:p>
    <w:p w14:paraId="310F4981" w14:textId="7F168EA4" w:rsidR="00FE0A05" w:rsidRDefault="006E1C82" w:rsidP="00FE0A05">
      <w:pPr>
        <w:pStyle w:val="TableofFigures"/>
        <w:tabs>
          <w:tab w:val="right" w:leader="dot" w:pos="9629"/>
        </w:tabs>
        <w:jc w:val="both"/>
        <w:rPr>
          <w:rFonts w:eastAsiaTheme="minorEastAsia"/>
          <w:b w:val="0"/>
          <w:noProof/>
          <w:lang w:val="sv-SE" w:eastAsia="sv-SE"/>
        </w:rPr>
      </w:pPr>
      <w:r w:rsidRPr="00D312D4">
        <w:rPr>
          <w:bCs/>
        </w:rPr>
        <w:fldChar w:fldCharType="begin"/>
      </w:r>
      <w:r w:rsidRPr="00D312D4">
        <w:rPr>
          <w:bCs/>
        </w:rPr>
        <w:instrText xml:space="preserve"> TOC \n \h \z \t "Proposal" \c </w:instrText>
      </w:r>
      <w:r w:rsidRPr="00D312D4">
        <w:rPr>
          <w:bCs/>
        </w:rPr>
        <w:fldChar w:fldCharType="separate"/>
      </w:r>
      <w:hyperlink w:anchor="_Toc32605871" w:history="1">
        <w:r w:rsidR="00FE0A05" w:rsidRPr="00342A75">
          <w:rPr>
            <w:rStyle w:val="Hyperlink"/>
            <w:rFonts w:cs="Arial"/>
            <w:noProof/>
            <w:lang w:eastAsia="zh-CN"/>
          </w:rPr>
          <w:t>Proposal 1</w:t>
        </w:r>
        <w:r w:rsidR="00FE0A05">
          <w:rPr>
            <w:rFonts w:eastAsiaTheme="minorEastAsia"/>
            <w:b w:val="0"/>
            <w:noProof/>
            <w:lang w:val="sv-SE" w:eastAsia="sv-SE"/>
          </w:rPr>
          <w:tab/>
        </w:r>
        <w:r w:rsidR="00FE0A05" w:rsidRPr="00342A75">
          <w:rPr>
            <w:rStyle w:val="Hyperlink"/>
            <w:noProof/>
          </w:rPr>
          <w:t>IAB-nodes with BS characteristics in deployment, operation, performance and configuration and configurability will have no mandatory feature groups for their IAB-MT.</w:t>
        </w:r>
      </w:hyperlink>
    </w:p>
    <w:p w14:paraId="61497E38" w14:textId="0ACB3725" w:rsidR="00C01F33" w:rsidRPr="00D312D4" w:rsidRDefault="006E1C82" w:rsidP="00FE0A05">
      <w:pPr>
        <w:pStyle w:val="TableofFigures"/>
        <w:tabs>
          <w:tab w:val="right" w:leader="dot" w:pos="9629"/>
        </w:tabs>
        <w:spacing w:after="0"/>
        <w:jc w:val="both"/>
      </w:pPr>
      <w:r w:rsidRPr="00D312D4">
        <w:fldChar w:fldCharType="end"/>
      </w:r>
    </w:p>
    <w:p w14:paraId="5B7C13B1" w14:textId="77777777" w:rsidR="00F507D1" w:rsidRPr="00D312D4" w:rsidRDefault="00F507D1" w:rsidP="00D312D4">
      <w:pPr>
        <w:pStyle w:val="Heading1"/>
        <w:numPr>
          <w:ilvl w:val="0"/>
          <w:numId w:val="0"/>
        </w:numPr>
        <w:jc w:val="both"/>
        <w:rPr>
          <w:lang w:val="en-US"/>
        </w:rPr>
      </w:pPr>
      <w:bookmarkStart w:id="3" w:name="_In-sequence_SDU_delivery"/>
      <w:bookmarkEnd w:id="3"/>
      <w:r w:rsidRPr="00D312D4">
        <w:rPr>
          <w:lang w:val="en-US"/>
        </w:rPr>
        <w:lastRenderedPageBreak/>
        <w:t>References</w:t>
      </w:r>
    </w:p>
    <w:bookmarkStart w:id="4" w:name="_Ref174151459"/>
    <w:bookmarkStart w:id="5" w:name="_Ref189809556"/>
    <w:bookmarkStart w:id="6" w:name="_Ref476919366"/>
    <w:bookmarkStart w:id="7" w:name="_Ref454459437"/>
    <w:bookmarkStart w:id="8" w:name="_Ref32568894"/>
    <w:p w14:paraId="7C6623FC" w14:textId="2E5B78C8" w:rsidR="0094508F" w:rsidRPr="00D312D4" w:rsidRDefault="00F42E00" w:rsidP="00D312D4">
      <w:pPr>
        <w:pStyle w:val="Reference"/>
        <w:jc w:val="both"/>
      </w:pPr>
      <w:r w:rsidRPr="00D312D4">
        <w:rPr>
          <w:rFonts w:cs="Arial"/>
        </w:rPr>
        <w:fldChar w:fldCharType="begin"/>
      </w:r>
      <w:r w:rsidRPr="00D312D4">
        <w:rPr>
          <w:rFonts w:cs="Arial"/>
        </w:rPr>
        <w:instrText xml:space="preserve"> HYPERLINK "https://www.3gpp.org/ftp/tsg_ran/WG4_Radio/TSGR4_93/Docs/R4-1916161.zip" </w:instrText>
      </w:r>
      <w:r w:rsidRPr="00D312D4">
        <w:rPr>
          <w:rFonts w:cs="Arial"/>
        </w:rPr>
      </w:r>
      <w:r w:rsidRPr="00D312D4">
        <w:rPr>
          <w:rFonts w:cs="Arial"/>
        </w:rPr>
        <w:fldChar w:fldCharType="separate"/>
      </w:r>
      <w:r w:rsidR="0094508F" w:rsidRPr="00D312D4">
        <w:rPr>
          <w:rStyle w:val="Hyperlink"/>
          <w:rFonts w:cs="Arial"/>
        </w:rPr>
        <w:t>R4-1916161</w:t>
      </w:r>
      <w:r w:rsidRPr="00D312D4">
        <w:rPr>
          <w:rFonts w:cs="Arial"/>
        </w:rPr>
        <w:fldChar w:fldCharType="end"/>
      </w:r>
      <w:r w:rsidR="0094508F" w:rsidRPr="00D312D4">
        <w:rPr>
          <w:rFonts w:cs="Arial"/>
        </w:rPr>
        <w:t xml:space="preserve">, “IAB Ad Hoc meeting minutes”, </w:t>
      </w:r>
      <w:r w:rsidR="00225251" w:rsidRPr="00D312D4">
        <w:rPr>
          <w:rFonts w:cs="Arial"/>
        </w:rPr>
        <w:t>Qualcomm Inc., R</w:t>
      </w:r>
      <w:r w:rsidR="0094508F" w:rsidRPr="00D312D4">
        <w:rPr>
          <w:rFonts w:cs="Arial"/>
        </w:rPr>
        <w:t>AN4 #93</w:t>
      </w:r>
      <w:bookmarkEnd w:id="6"/>
      <w:bookmarkEnd w:id="7"/>
      <w:r w:rsidR="0094508F" w:rsidRPr="00D312D4">
        <w:rPr>
          <w:rFonts w:cs="Arial"/>
        </w:rPr>
        <w:t>, November 2019</w:t>
      </w:r>
      <w:r w:rsidR="0094508F" w:rsidRPr="00D312D4">
        <w:t>.</w:t>
      </w:r>
      <w:bookmarkEnd w:id="8"/>
    </w:p>
    <w:bookmarkStart w:id="9" w:name="_Ref22634755"/>
    <w:bookmarkStart w:id="10" w:name="_Ref32568907"/>
    <w:p w14:paraId="757F6278" w14:textId="2699277E" w:rsidR="0094508F" w:rsidRPr="00D312D4" w:rsidRDefault="00F42E00" w:rsidP="00D312D4">
      <w:pPr>
        <w:pStyle w:val="Reference"/>
        <w:spacing w:after="0"/>
        <w:jc w:val="both"/>
      </w:pPr>
      <w:r w:rsidRPr="00D312D4">
        <w:rPr>
          <w:rFonts w:cs="Arial"/>
        </w:rPr>
        <w:fldChar w:fldCharType="begin"/>
      </w:r>
      <w:r w:rsidRPr="00D312D4">
        <w:rPr>
          <w:rFonts w:cs="Arial"/>
        </w:rPr>
        <w:instrText xml:space="preserve"> HYPERLINK "https://www.3gpp.org/ftp/tsg_ran/TSG_RAN/TSGR_86/Docs/RP-193199.zip" </w:instrText>
      </w:r>
      <w:r w:rsidRPr="00D312D4">
        <w:rPr>
          <w:rFonts w:cs="Arial"/>
        </w:rPr>
      </w:r>
      <w:r w:rsidRPr="00D312D4">
        <w:rPr>
          <w:rFonts w:cs="Arial"/>
        </w:rPr>
        <w:fldChar w:fldCharType="separate"/>
      </w:r>
      <w:r w:rsidR="0094508F" w:rsidRPr="00D312D4">
        <w:rPr>
          <w:rStyle w:val="Hyperlink"/>
          <w:rFonts w:cs="Arial"/>
        </w:rPr>
        <w:t>RP-193</w:t>
      </w:r>
      <w:r w:rsidR="0094508F" w:rsidRPr="00D312D4">
        <w:rPr>
          <w:rStyle w:val="Hyperlink"/>
          <w:rFonts w:cs="Arial"/>
        </w:rPr>
        <w:t>1</w:t>
      </w:r>
      <w:r w:rsidR="0094508F" w:rsidRPr="00D312D4">
        <w:rPr>
          <w:rStyle w:val="Hyperlink"/>
          <w:rFonts w:cs="Arial"/>
        </w:rPr>
        <w:t>99</w:t>
      </w:r>
      <w:r w:rsidRPr="00D312D4">
        <w:rPr>
          <w:rFonts w:cs="Arial"/>
        </w:rPr>
        <w:fldChar w:fldCharType="end"/>
      </w:r>
      <w:r w:rsidR="0094508F" w:rsidRPr="00D312D4">
        <w:rPr>
          <w:rFonts w:cs="Arial"/>
        </w:rPr>
        <w:t xml:space="preserve">, “Proposed Way Forward on RRM Requirements for the IAB Project”, </w:t>
      </w:r>
      <w:r w:rsidRPr="00D312D4">
        <w:rPr>
          <w:rFonts w:cs="Arial"/>
        </w:rPr>
        <w:t xml:space="preserve">Qualcomm Inc., AT&amp;T, KDDI, Samsung, Telstra, Ericsson, </w:t>
      </w:r>
      <w:r w:rsidR="0094508F" w:rsidRPr="00D312D4">
        <w:rPr>
          <w:rFonts w:cs="Arial"/>
        </w:rPr>
        <w:t>RAN #86, December 2019</w:t>
      </w:r>
      <w:bookmarkEnd w:id="9"/>
      <w:r w:rsidR="0094508F" w:rsidRPr="00D312D4">
        <w:rPr>
          <w:rFonts w:cs="Arial"/>
        </w:rPr>
        <w:t>.</w:t>
      </w:r>
      <w:bookmarkEnd w:id="4"/>
      <w:bookmarkEnd w:id="5"/>
      <w:bookmarkEnd w:id="10"/>
    </w:p>
    <w:sectPr w:rsidR="0094508F" w:rsidRPr="00D312D4"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052DD2" w14:textId="77777777" w:rsidR="00A90C3E" w:rsidRDefault="00A90C3E" w:rsidP="00A575AC">
      <w:r>
        <w:separator/>
      </w:r>
    </w:p>
    <w:p w14:paraId="59BBC93F" w14:textId="77777777" w:rsidR="00A90C3E" w:rsidRDefault="00A90C3E" w:rsidP="00A575AC"/>
  </w:endnote>
  <w:endnote w:type="continuationSeparator" w:id="0">
    <w:p w14:paraId="54B68ED4" w14:textId="77777777" w:rsidR="00A90C3E" w:rsidRDefault="00A90C3E" w:rsidP="00A575AC">
      <w:r>
        <w:continuationSeparator/>
      </w:r>
    </w:p>
    <w:p w14:paraId="7A924CC1" w14:textId="77777777" w:rsidR="00A90C3E" w:rsidRDefault="00A90C3E" w:rsidP="00A575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89A2C"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F119C0" w14:textId="77777777" w:rsidR="00A90C3E" w:rsidRDefault="00A90C3E" w:rsidP="00A575AC">
      <w:r>
        <w:separator/>
      </w:r>
    </w:p>
    <w:p w14:paraId="5875CAFE" w14:textId="77777777" w:rsidR="00A90C3E" w:rsidRDefault="00A90C3E" w:rsidP="00A575AC"/>
  </w:footnote>
  <w:footnote w:type="continuationSeparator" w:id="0">
    <w:p w14:paraId="2C797FBE" w14:textId="77777777" w:rsidR="00A90C3E" w:rsidRDefault="00A90C3E" w:rsidP="00A575AC">
      <w:r>
        <w:continuationSeparator/>
      </w:r>
    </w:p>
    <w:p w14:paraId="4C26672D" w14:textId="77777777" w:rsidR="00A90C3E" w:rsidRDefault="00A90C3E" w:rsidP="00A575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A1DAF" w14:textId="77777777" w:rsidR="00C744FE" w:rsidRDefault="00C744FE" w:rsidP="00A575A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0D9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F837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EFB36D6"/>
    <w:multiLevelType w:val="hybridMultilevel"/>
    <w:tmpl w:val="D8165D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AB0EBB64"/>
    <w:lvl w:ilvl="0" w:tplc="6E6EDF4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5C8362B7"/>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685C5EC1"/>
    <w:multiLevelType w:val="hybridMultilevel"/>
    <w:tmpl w:val="CC5471AC"/>
    <w:lvl w:ilvl="0" w:tplc="64300390">
      <w:start w:val="1"/>
      <w:numFmt w:val="bullet"/>
      <w:lvlText w:val="•"/>
      <w:lvlJc w:val="left"/>
      <w:pPr>
        <w:tabs>
          <w:tab w:val="num" w:pos="720"/>
        </w:tabs>
        <w:ind w:left="720" w:hanging="360"/>
      </w:pPr>
      <w:rPr>
        <w:rFonts w:ascii="Arial" w:hAnsi="Arial" w:hint="default"/>
      </w:rPr>
    </w:lvl>
    <w:lvl w:ilvl="1" w:tplc="1AF21B6A">
      <w:numFmt w:val="bullet"/>
      <w:lvlText w:val="•"/>
      <w:lvlJc w:val="left"/>
      <w:pPr>
        <w:tabs>
          <w:tab w:val="num" w:pos="1440"/>
        </w:tabs>
        <w:ind w:left="1440" w:hanging="360"/>
      </w:pPr>
      <w:rPr>
        <w:rFonts w:ascii="Arial" w:hAnsi="Arial" w:hint="default"/>
      </w:rPr>
    </w:lvl>
    <w:lvl w:ilvl="2" w:tplc="F656FE30">
      <w:numFmt w:val="bullet"/>
      <w:lvlText w:val="•"/>
      <w:lvlJc w:val="left"/>
      <w:pPr>
        <w:tabs>
          <w:tab w:val="num" w:pos="2160"/>
        </w:tabs>
        <w:ind w:left="2160" w:hanging="360"/>
      </w:pPr>
      <w:rPr>
        <w:rFonts w:ascii="Arial" w:hAnsi="Arial" w:hint="default"/>
      </w:rPr>
    </w:lvl>
    <w:lvl w:ilvl="3" w:tplc="13700D68" w:tentative="1">
      <w:start w:val="1"/>
      <w:numFmt w:val="bullet"/>
      <w:lvlText w:val="•"/>
      <w:lvlJc w:val="left"/>
      <w:pPr>
        <w:tabs>
          <w:tab w:val="num" w:pos="2880"/>
        </w:tabs>
        <w:ind w:left="2880" w:hanging="360"/>
      </w:pPr>
      <w:rPr>
        <w:rFonts w:ascii="Arial" w:hAnsi="Arial" w:hint="default"/>
      </w:rPr>
    </w:lvl>
    <w:lvl w:ilvl="4" w:tplc="B0380664" w:tentative="1">
      <w:start w:val="1"/>
      <w:numFmt w:val="bullet"/>
      <w:lvlText w:val="•"/>
      <w:lvlJc w:val="left"/>
      <w:pPr>
        <w:tabs>
          <w:tab w:val="num" w:pos="3600"/>
        </w:tabs>
        <w:ind w:left="3600" w:hanging="360"/>
      </w:pPr>
      <w:rPr>
        <w:rFonts w:ascii="Arial" w:hAnsi="Arial" w:hint="default"/>
      </w:rPr>
    </w:lvl>
    <w:lvl w:ilvl="5" w:tplc="A1E8E878" w:tentative="1">
      <w:start w:val="1"/>
      <w:numFmt w:val="bullet"/>
      <w:lvlText w:val="•"/>
      <w:lvlJc w:val="left"/>
      <w:pPr>
        <w:tabs>
          <w:tab w:val="num" w:pos="4320"/>
        </w:tabs>
        <w:ind w:left="4320" w:hanging="360"/>
      </w:pPr>
      <w:rPr>
        <w:rFonts w:ascii="Arial" w:hAnsi="Arial" w:hint="default"/>
      </w:rPr>
    </w:lvl>
    <w:lvl w:ilvl="6" w:tplc="E35606CC" w:tentative="1">
      <w:start w:val="1"/>
      <w:numFmt w:val="bullet"/>
      <w:lvlText w:val="•"/>
      <w:lvlJc w:val="left"/>
      <w:pPr>
        <w:tabs>
          <w:tab w:val="num" w:pos="5040"/>
        </w:tabs>
        <w:ind w:left="5040" w:hanging="360"/>
      </w:pPr>
      <w:rPr>
        <w:rFonts w:ascii="Arial" w:hAnsi="Arial" w:hint="default"/>
      </w:rPr>
    </w:lvl>
    <w:lvl w:ilvl="7" w:tplc="0C72C036" w:tentative="1">
      <w:start w:val="1"/>
      <w:numFmt w:val="bullet"/>
      <w:lvlText w:val="•"/>
      <w:lvlJc w:val="left"/>
      <w:pPr>
        <w:tabs>
          <w:tab w:val="num" w:pos="5760"/>
        </w:tabs>
        <w:ind w:left="5760" w:hanging="360"/>
      </w:pPr>
      <w:rPr>
        <w:rFonts w:ascii="Arial" w:hAnsi="Arial" w:hint="default"/>
      </w:rPr>
    </w:lvl>
    <w:lvl w:ilvl="8" w:tplc="63FE713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6"/>
  </w:num>
  <w:num w:numId="18">
    <w:abstractNumId w:val="7"/>
  </w:num>
  <w:num w:numId="19">
    <w:abstractNumId w:val="4"/>
  </w:num>
  <w:num w:numId="20">
    <w:abstractNumId w:val="24"/>
  </w:num>
  <w:num w:numId="21">
    <w:abstractNumId w:val="11"/>
  </w:num>
  <w:num w:numId="22">
    <w:abstractNumId w:val="23"/>
  </w:num>
  <w:num w:numId="23">
    <w:abstractNumId w:val="21"/>
  </w:num>
  <w:num w:numId="24">
    <w:abstractNumId w:val="22"/>
  </w:num>
  <w:num w:numId="2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648A"/>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2A9A"/>
    <w:rsid w:val="000534E3"/>
    <w:rsid w:val="0005606A"/>
    <w:rsid w:val="00057117"/>
    <w:rsid w:val="000616E7"/>
    <w:rsid w:val="0006487E"/>
    <w:rsid w:val="00065E1A"/>
    <w:rsid w:val="00077892"/>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3DF"/>
    <w:rsid w:val="001526E0"/>
    <w:rsid w:val="001551B5"/>
    <w:rsid w:val="001659C1"/>
    <w:rsid w:val="00173A8E"/>
    <w:rsid w:val="0017502C"/>
    <w:rsid w:val="0018143F"/>
    <w:rsid w:val="00181FF8"/>
    <w:rsid w:val="00190AC1"/>
    <w:rsid w:val="0019341A"/>
    <w:rsid w:val="0019535D"/>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51"/>
    <w:rsid w:val="002252C3"/>
    <w:rsid w:val="00225C54"/>
    <w:rsid w:val="00230765"/>
    <w:rsid w:val="00230D18"/>
    <w:rsid w:val="002319E4"/>
    <w:rsid w:val="00235632"/>
    <w:rsid w:val="00235872"/>
    <w:rsid w:val="00241559"/>
    <w:rsid w:val="002435B3"/>
    <w:rsid w:val="00243F15"/>
    <w:rsid w:val="002458EB"/>
    <w:rsid w:val="002500C8"/>
    <w:rsid w:val="00257543"/>
    <w:rsid w:val="002617E7"/>
    <w:rsid w:val="00264228"/>
    <w:rsid w:val="00264334"/>
    <w:rsid w:val="0026473E"/>
    <w:rsid w:val="00264A0E"/>
    <w:rsid w:val="00266214"/>
    <w:rsid w:val="00267C83"/>
    <w:rsid w:val="0027144F"/>
    <w:rsid w:val="00271813"/>
    <w:rsid w:val="00271F3A"/>
    <w:rsid w:val="00273278"/>
    <w:rsid w:val="002737F4"/>
    <w:rsid w:val="00277F05"/>
    <w:rsid w:val="002805F5"/>
    <w:rsid w:val="00280751"/>
    <w:rsid w:val="0028280A"/>
    <w:rsid w:val="00286ACD"/>
    <w:rsid w:val="00287838"/>
    <w:rsid w:val="002907B5"/>
    <w:rsid w:val="00290AEE"/>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8767E"/>
    <w:rsid w:val="003939FF"/>
    <w:rsid w:val="00396CE0"/>
    <w:rsid w:val="003A2223"/>
    <w:rsid w:val="003A2A0F"/>
    <w:rsid w:val="003A3A07"/>
    <w:rsid w:val="003A45A1"/>
    <w:rsid w:val="003A5B0A"/>
    <w:rsid w:val="003A6BAC"/>
    <w:rsid w:val="003A70A4"/>
    <w:rsid w:val="003A7EF3"/>
    <w:rsid w:val="003B159C"/>
    <w:rsid w:val="003B369F"/>
    <w:rsid w:val="003B36A3"/>
    <w:rsid w:val="003B64BB"/>
    <w:rsid w:val="003B7FE5"/>
    <w:rsid w:val="003C11C8"/>
    <w:rsid w:val="003C2702"/>
    <w:rsid w:val="003C45CD"/>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4081"/>
    <w:rsid w:val="0047556B"/>
    <w:rsid w:val="00477768"/>
    <w:rsid w:val="00483009"/>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2B0"/>
    <w:rsid w:val="00537C62"/>
    <w:rsid w:val="00546970"/>
    <w:rsid w:val="00554E19"/>
    <w:rsid w:val="0056121F"/>
    <w:rsid w:val="00572505"/>
    <w:rsid w:val="00582809"/>
    <w:rsid w:val="0058798C"/>
    <w:rsid w:val="005900FA"/>
    <w:rsid w:val="0059032B"/>
    <w:rsid w:val="005935A4"/>
    <w:rsid w:val="005948C2"/>
    <w:rsid w:val="00595DCA"/>
    <w:rsid w:val="0059779B"/>
    <w:rsid w:val="005A209A"/>
    <w:rsid w:val="005A5812"/>
    <w:rsid w:val="005A662D"/>
    <w:rsid w:val="005B1409"/>
    <w:rsid w:val="005B35D7"/>
    <w:rsid w:val="005B392A"/>
    <w:rsid w:val="005B3AA3"/>
    <w:rsid w:val="005B6F83"/>
    <w:rsid w:val="005C74FB"/>
    <w:rsid w:val="005D1602"/>
    <w:rsid w:val="005D648A"/>
    <w:rsid w:val="005E385F"/>
    <w:rsid w:val="005E5B81"/>
    <w:rsid w:val="005F2CB1"/>
    <w:rsid w:val="005F3025"/>
    <w:rsid w:val="005F618C"/>
    <w:rsid w:val="005F70BD"/>
    <w:rsid w:val="0060055E"/>
    <w:rsid w:val="0060283C"/>
    <w:rsid w:val="00604F14"/>
    <w:rsid w:val="00611B83"/>
    <w:rsid w:val="00613257"/>
    <w:rsid w:val="00620A71"/>
    <w:rsid w:val="00620D80"/>
    <w:rsid w:val="006234A6"/>
    <w:rsid w:val="00630001"/>
    <w:rsid w:val="006311B3"/>
    <w:rsid w:val="0063284C"/>
    <w:rsid w:val="00633382"/>
    <w:rsid w:val="00636398"/>
    <w:rsid w:val="006368D3"/>
    <w:rsid w:val="006377EC"/>
    <w:rsid w:val="0064151F"/>
    <w:rsid w:val="00641533"/>
    <w:rsid w:val="0064208D"/>
    <w:rsid w:val="00643475"/>
    <w:rsid w:val="0064396A"/>
    <w:rsid w:val="0064624E"/>
    <w:rsid w:val="00650710"/>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77FE2"/>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78F"/>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BC1"/>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267A"/>
    <w:rsid w:val="0090336B"/>
    <w:rsid w:val="009053AA"/>
    <w:rsid w:val="00906939"/>
    <w:rsid w:val="00910626"/>
    <w:rsid w:val="00910B7D"/>
    <w:rsid w:val="00911DFB"/>
    <w:rsid w:val="009139D9"/>
    <w:rsid w:val="00914AD8"/>
    <w:rsid w:val="00916079"/>
    <w:rsid w:val="00917CE9"/>
    <w:rsid w:val="00920BF2"/>
    <w:rsid w:val="00922010"/>
    <w:rsid w:val="00931BD9"/>
    <w:rsid w:val="009368F3"/>
    <w:rsid w:val="0094015D"/>
    <w:rsid w:val="00941636"/>
    <w:rsid w:val="00943742"/>
    <w:rsid w:val="0094508F"/>
    <w:rsid w:val="00945C05"/>
    <w:rsid w:val="00946945"/>
    <w:rsid w:val="00947713"/>
    <w:rsid w:val="00950DE7"/>
    <w:rsid w:val="00953920"/>
    <w:rsid w:val="00953D47"/>
    <w:rsid w:val="0095681E"/>
    <w:rsid w:val="009572D4"/>
    <w:rsid w:val="00961921"/>
    <w:rsid w:val="0096430A"/>
    <w:rsid w:val="0096554B"/>
    <w:rsid w:val="00965597"/>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9F4344"/>
    <w:rsid w:val="009F7F29"/>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575AC"/>
    <w:rsid w:val="00A61499"/>
    <w:rsid w:val="00A62A77"/>
    <w:rsid w:val="00A63483"/>
    <w:rsid w:val="00A657D7"/>
    <w:rsid w:val="00A660AC"/>
    <w:rsid w:val="00A67E6C"/>
    <w:rsid w:val="00A71B99"/>
    <w:rsid w:val="00A739D0"/>
    <w:rsid w:val="00A761D4"/>
    <w:rsid w:val="00A77EC4"/>
    <w:rsid w:val="00A90C3E"/>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4010"/>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2F2F"/>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805"/>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12D4"/>
    <w:rsid w:val="00D36E71"/>
    <w:rsid w:val="00D37D87"/>
    <w:rsid w:val="00D40B33"/>
    <w:rsid w:val="00D4318F"/>
    <w:rsid w:val="00D438BF"/>
    <w:rsid w:val="00D440F8"/>
    <w:rsid w:val="00D546FF"/>
    <w:rsid w:val="00D55AD5"/>
    <w:rsid w:val="00D576CA"/>
    <w:rsid w:val="00D61AF5"/>
    <w:rsid w:val="00D652B5"/>
    <w:rsid w:val="00D66155"/>
    <w:rsid w:val="00D708B0"/>
    <w:rsid w:val="00D76037"/>
    <w:rsid w:val="00D77B1D"/>
    <w:rsid w:val="00D8021F"/>
    <w:rsid w:val="00D80383"/>
    <w:rsid w:val="00D823C6"/>
    <w:rsid w:val="00D8327F"/>
    <w:rsid w:val="00D86CA3"/>
    <w:rsid w:val="00D871CE"/>
    <w:rsid w:val="00D9196D"/>
    <w:rsid w:val="00D9280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5B3"/>
    <w:rsid w:val="00E446F1"/>
    <w:rsid w:val="00E46886"/>
    <w:rsid w:val="00E47AEF"/>
    <w:rsid w:val="00E53B75"/>
    <w:rsid w:val="00E54E3B"/>
    <w:rsid w:val="00E57565"/>
    <w:rsid w:val="00E63838"/>
    <w:rsid w:val="00E64434"/>
    <w:rsid w:val="00E67C51"/>
    <w:rsid w:val="00E72903"/>
    <w:rsid w:val="00E72EFC"/>
    <w:rsid w:val="00E758EC"/>
    <w:rsid w:val="00E80E41"/>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2E00"/>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0A05"/>
    <w:rsid w:val="00FE2365"/>
    <w:rsid w:val="00FE37D7"/>
    <w:rsid w:val="00FE3C64"/>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E912F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90AEE"/>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Id w:val="23"/>
      </w:numPr>
      <w:outlineLvl w:val="5"/>
    </w:pPr>
  </w:style>
  <w:style w:type="paragraph" w:styleId="Heading7">
    <w:name w:val="heading 7"/>
    <w:basedOn w:val="H6"/>
    <w:next w:val="Normal"/>
    <w:link w:val="Heading7Char"/>
    <w:qFormat/>
    <w:rsid w:val="008D00A5"/>
    <w:pPr>
      <w:numPr>
        <w:ilvl w:val="6"/>
        <w:numId w:val="23"/>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rsid w:val="00290AE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90AEE"/>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numPr>
        <w:numId w:val="0"/>
      </w:numPr>
      <w:ind w:left="1134" w:hanging="1134"/>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numPr>
        <w:ilvl w:val="0"/>
        <w:numId w:val="0"/>
      </w:num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ind w:left="283"/>
      <w:contextualSpacing/>
    </w:pPr>
  </w:style>
  <w:style w:type="paragraph" w:styleId="ListContinue2">
    <w:name w:val="List Continue 2"/>
    <w:basedOn w:val="Normal"/>
    <w:rsid w:val="003A70A4"/>
    <w:pPr>
      <w:ind w:left="566"/>
      <w:contextualSpacing/>
    </w:pPr>
  </w:style>
  <w:style w:type="paragraph" w:styleId="ListNumber3">
    <w:name w:val="List Number 3"/>
    <w:basedOn w:val="ListNumber2"/>
    <w:rsid w:val="003A70A4"/>
    <w:pPr>
      <w:numPr>
        <w:numId w:val="10"/>
      </w:numPr>
      <w:contextualSpacing/>
    </w:pPr>
  </w:style>
  <w:style w:type="character" w:customStyle="1" w:styleId="ReferenceChar">
    <w:name w:val="Reference Char"/>
    <w:link w:val="Reference"/>
    <w:rsid w:val="0094508F"/>
    <w:rPr>
      <w:rFonts w:ascii="Arial" w:hAnsi="Arial"/>
      <w:lang w:val="en-US" w:eastAsia="zh-CN"/>
    </w:rPr>
  </w:style>
  <w:style w:type="character" w:styleId="UnresolvedMention">
    <w:name w:val="Unresolved Mention"/>
    <w:basedOn w:val="DefaultParagraphFont"/>
    <w:uiPriority w:val="99"/>
    <w:semiHidden/>
    <w:unhideWhenUsed/>
    <w:rsid w:val="00F42E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698DAF-1A50-4E27-B097-EB0CA2F8B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760</Words>
  <Characters>4034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4785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2020-02-14T19:50:00Z</dcterms:created>
  <dcterms:modified xsi:type="dcterms:W3CDTF">2020-02-14T19:51:00Z</dcterms:modified>
  <cp:category/>
</cp:coreProperties>
</file>